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eastAsia="方正小标宋_GBK"/>
          <w:bCs/>
          <w:color w:val="000000"/>
          <w:spacing w:val="-10"/>
          <w:kern w:val="0"/>
          <w:sz w:val="43"/>
          <w:szCs w:val="43"/>
        </w:rPr>
      </w:pPr>
    </w:p>
    <w:p>
      <w:pPr>
        <w:adjustRightInd w:val="0"/>
        <w:snapToGrid w:val="0"/>
        <w:spacing w:line="500" w:lineRule="exact"/>
        <w:jc w:val="center"/>
        <w:rPr>
          <w:rFonts w:ascii="宋体" w:hAnsi="宋体"/>
          <w:b/>
          <w:bCs/>
          <w:color w:val="000000"/>
          <w:sz w:val="36"/>
          <w:szCs w:val="36"/>
        </w:rPr>
      </w:pPr>
      <w:r>
        <w:rPr>
          <w:rFonts w:hint="eastAsia" w:ascii="宋体" w:hAnsi="宋体"/>
          <w:b/>
          <w:bCs/>
          <w:color w:val="000000"/>
          <w:sz w:val="36"/>
          <w:szCs w:val="36"/>
        </w:rPr>
        <w:t>申报</w:t>
      </w:r>
      <w:r>
        <w:rPr>
          <w:rFonts w:ascii="宋体" w:hAnsi="宋体"/>
          <w:b/>
          <w:bCs/>
          <w:color w:val="000000"/>
          <w:sz w:val="36"/>
          <w:szCs w:val="36"/>
        </w:rPr>
        <w:t>华夏医学科技奖项目公示</w:t>
      </w:r>
    </w:p>
    <w:p>
      <w:pPr>
        <w:adjustRightInd w:val="0"/>
        <w:snapToGrid w:val="0"/>
        <w:spacing w:line="500" w:lineRule="exact"/>
        <w:ind w:firstLine="607" w:firstLineChars="196"/>
        <w:rPr>
          <w:rFonts w:eastAsia="仿宋_GB2312"/>
          <w:color w:val="000000"/>
          <w:kern w:val="0"/>
          <w:sz w:val="31"/>
          <w:szCs w:val="31"/>
        </w:rPr>
      </w:pPr>
    </w:p>
    <w:p>
      <w:pPr>
        <w:adjustRightInd w:val="0"/>
        <w:snapToGrid w:val="0"/>
        <w:spacing w:line="500" w:lineRule="exact"/>
        <w:ind w:firstLine="548" w:firstLineChars="196"/>
        <w:rPr>
          <w:rFonts w:ascii="仿宋" w:hAnsi="仿宋" w:eastAsia="仿宋"/>
          <w:color w:val="000000"/>
          <w:kern w:val="0"/>
          <w:sz w:val="28"/>
          <w:szCs w:val="28"/>
        </w:rPr>
      </w:pPr>
      <w:r>
        <w:rPr>
          <w:rFonts w:ascii="仿宋" w:hAnsi="仿宋" w:eastAsia="仿宋"/>
          <w:color w:val="000000"/>
          <w:kern w:val="0"/>
          <w:sz w:val="28"/>
          <w:szCs w:val="28"/>
        </w:rPr>
        <w:t>我单位</w:t>
      </w:r>
      <w:r>
        <w:rPr>
          <w:rFonts w:hint="eastAsia" w:ascii="仿宋" w:hAnsi="仿宋" w:eastAsia="仿宋"/>
          <w:color w:val="000000"/>
          <w:kern w:val="0"/>
          <w:sz w:val="28"/>
          <w:szCs w:val="28"/>
        </w:rPr>
        <w:t>完成的下列</w:t>
      </w:r>
      <w:r>
        <w:rPr>
          <w:rFonts w:ascii="仿宋" w:hAnsi="仿宋" w:eastAsia="仿宋"/>
          <w:color w:val="000000"/>
          <w:kern w:val="0"/>
          <w:sz w:val="28"/>
          <w:szCs w:val="28"/>
        </w:rPr>
        <w:t>项目</w:t>
      </w:r>
      <w:r>
        <w:rPr>
          <w:rFonts w:hint="eastAsia" w:ascii="仿宋" w:hAnsi="仿宋" w:eastAsia="仿宋"/>
          <w:color w:val="000000"/>
          <w:kern w:val="0"/>
          <w:sz w:val="28"/>
          <w:szCs w:val="28"/>
        </w:rPr>
        <w:t>拟</w:t>
      </w:r>
      <w:r>
        <w:rPr>
          <w:rFonts w:ascii="仿宋" w:hAnsi="仿宋" w:eastAsia="仿宋"/>
          <w:color w:val="000000"/>
          <w:kern w:val="0"/>
          <w:sz w:val="28"/>
          <w:szCs w:val="28"/>
        </w:rPr>
        <w:t>申报20</w:t>
      </w:r>
      <w:r>
        <w:rPr>
          <w:rFonts w:hint="eastAsia" w:ascii="仿宋" w:hAnsi="仿宋" w:eastAsia="仿宋"/>
          <w:color w:val="000000"/>
          <w:kern w:val="0"/>
          <w:sz w:val="28"/>
          <w:szCs w:val="28"/>
        </w:rPr>
        <w:t>2</w:t>
      </w:r>
      <w:r>
        <w:rPr>
          <w:rFonts w:ascii="仿宋" w:hAnsi="仿宋" w:eastAsia="仿宋"/>
          <w:color w:val="000000"/>
          <w:kern w:val="0"/>
          <w:sz w:val="28"/>
          <w:szCs w:val="28"/>
        </w:rPr>
        <w:t>2年度华夏医学科技奖，特进行公示。公示期：</w:t>
      </w:r>
      <w:r>
        <w:rPr>
          <w:rFonts w:ascii="仿宋" w:hAnsi="仿宋" w:eastAsia="仿宋"/>
          <w:color w:val="000000"/>
          <w:kern w:val="0"/>
          <w:sz w:val="28"/>
          <w:szCs w:val="28"/>
          <w:u w:val="single"/>
        </w:rPr>
        <w:t xml:space="preserve"> 2022 </w:t>
      </w:r>
      <w:r>
        <w:rPr>
          <w:rFonts w:ascii="仿宋" w:hAnsi="仿宋" w:eastAsia="仿宋"/>
          <w:color w:val="000000"/>
          <w:kern w:val="0"/>
          <w:sz w:val="28"/>
          <w:szCs w:val="28"/>
        </w:rPr>
        <w:t>年</w:t>
      </w:r>
      <w:r>
        <w:rPr>
          <w:rFonts w:ascii="仿宋" w:hAnsi="仿宋" w:eastAsia="仿宋"/>
          <w:color w:val="000000"/>
          <w:kern w:val="0"/>
          <w:sz w:val="28"/>
          <w:szCs w:val="28"/>
          <w:u w:val="single"/>
        </w:rPr>
        <w:t xml:space="preserve"> 4 </w:t>
      </w:r>
      <w:r>
        <w:rPr>
          <w:rFonts w:ascii="仿宋" w:hAnsi="仿宋" w:eastAsia="仿宋"/>
          <w:color w:val="000000"/>
          <w:kern w:val="0"/>
          <w:sz w:val="28"/>
          <w:szCs w:val="28"/>
        </w:rPr>
        <w:t>月</w:t>
      </w:r>
      <w:r>
        <w:rPr>
          <w:rFonts w:ascii="仿宋" w:hAnsi="仿宋" w:eastAsia="仿宋"/>
          <w:color w:val="000000"/>
          <w:kern w:val="0"/>
          <w:sz w:val="28"/>
          <w:szCs w:val="28"/>
          <w:u w:val="single"/>
        </w:rPr>
        <w:t xml:space="preserve"> 1</w:t>
      </w:r>
      <w:r>
        <w:rPr>
          <w:rFonts w:hint="eastAsia" w:ascii="仿宋" w:hAnsi="仿宋" w:eastAsia="仿宋"/>
          <w:color w:val="000000"/>
          <w:kern w:val="0"/>
          <w:sz w:val="28"/>
          <w:szCs w:val="28"/>
          <w:u w:val="single"/>
          <w:lang w:val="en-US" w:eastAsia="zh-CN"/>
        </w:rPr>
        <w:t>2</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 xml:space="preserve">日至 </w:t>
      </w:r>
      <w:r>
        <w:rPr>
          <w:rFonts w:ascii="仿宋" w:hAnsi="仿宋" w:eastAsia="仿宋"/>
          <w:color w:val="000000"/>
          <w:kern w:val="0"/>
          <w:sz w:val="28"/>
          <w:szCs w:val="28"/>
          <w:u w:val="single"/>
        </w:rPr>
        <w:t xml:space="preserve"> 2022 </w:t>
      </w:r>
      <w:r>
        <w:rPr>
          <w:rFonts w:ascii="仿宋" w:hAnsi="仿宋" w:eastAsia="仿宋"/>
          <w:color w:val="000000"/>
          <w:kern w:val="0"/>
          <w:sz w:val="28"/>
          <w:szCs w:val="28"/>
        </w:rPr>
        <w:t>年</w:t>
      </w:r>
      <w:r>
        <w:rPr>
          <w:rFonts w:ascii="仿宋" w:hAnsi="仿宋" w:eastAsia="仿宋"/>
          <w:color w:val="000000"/>
          <w:kern w:val="0"/>
          <w:sz w:val="28"/>
          <w:szCs w:val="28"/>
          <w:u w:val="single"/>
        </w:rPr>
        <w:t xml:space="preserve"> 4 </w:t>
      </w:r>
      <w:r>
        <w:rPr>
          <w:rFonts w:ascii="仿宋" w:hAnsi="仿宋" w:eastAsia="仿宋"/>
          <w:color w:val="000000"/>
          <w:kern w:val="0"/>
          <w:sz w:val="28"/>
          <w:szCs w:val="28"/>
        </w:rPr>
        <w:t>月</w:t>
      </w:r>
      <w:r>
        <w:rPr>
          <w:rFonts w:ascii="仿宋" w:hAnsi="仿宋" w:eastAsia="仿宋"/>
          <w:color w:val="000000"/>
          <w:kern w:val="0"/>
          <w:sz w:val="28"/>
          <w:szCs w:val="28"/>
          <w:u w:val="single"/>
        </w:rPr>
        <w:t xml:space="preserve"> 2</w:t>
      </w:r>
      <w:r>
        <w:rPr>
          <w:rFonts w:hint="eastAsia" w:ascii="仿宋" w:hAnsi="仿宋" w:eastAsia="仿宋"/>
          <w:color w:val="000000"/>
          <w:kern w:val="0"/>
          <w:sz w:val="28"/>
          <w:szCs w:val="28"/>
          <w:u w:val="single"/>
          <w:lang w:val="en-US" w:eastAsia="zh-CN"/>
        </w:rPr>
        <w:t>2</w:t>
      </w:r>
      <w:r>
        <w:rPr>
          <w:rFonts w:ascii="仿宋" w:hAnsi="仿宋" w:eastAsia="仿宋"/>
          <w:color w:val="000000"/>
          <w:kern w:val="0"/>
          <w:sz w:val="28"/>
          <w:szCs w:val="28"/>
          <w:u w:val="single"/>
        </w:rPr>
        <w:t xml:space="preserve"> </w:t>
      </w:r>
      <w:r>
        <w:rPr>
          <w:rFonts w:ascii="仿宋" w:hAnsi="仿宋" w:eastAsia="仿宋"/>
          <w:color w:val="000000"/>
          <w:kern w:val="0"/>
          <w:sz w:val="28"/>
          <w:szCs w:val="28"/>
        </w:rPr>
        <w:t>日，公示期内如对公示内容有异议，请您向</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科研处 </w:t>
      </w:r>
      <w:r>
        <w:rPr>
          <w:rFonts w:ascii="仿宋" w:hAnsi="仿宋" w:eastAsia="仿宋"/>
          <w:color w:val="000000"/>
          <w:kern w:val="0"/>
          <w:sz w:val="28"/>
          <w:szCs w:val="28"/>
        </w:rPr>
        <w:t>反映。</w:t>
      </w:r>
    </w:p>
    <w:p>
      <w:pPr>
        <w:adjustRightInd w:val="0"/>
        <w:snapToGrid w:val="0"/>
        <w:spacing w:line="500" w:lineRule="exact"/>
        <w:ind w:firstLine="548" w:firstLineChars="196"/>
        <w:rPr>
          <w:rFonts w:hint="default" w:ascii="仿宋" w:hAnsi="仿宋" w:eastAsia="仿宋"/>
          <w:color w:val="000000"/>
          <w:kern w:val="0"/>
          <w:sz w:val="28"/>
          <w:szCs w:val="28"/>
          <w:lang w:val="en-US" w:eastAsia="zh-CN"/>
        </w:rPr>
      </w:pPr>
      <w:r>
        <w:rPr>
          <w:rFonts w:ascii="仿宋" w:hAnsi="仿宋" w:eastAsia="仿宋"/>
          <w:color w:val="000000"/>
          <w:kern w:val="0"/>
          <w:sz w:val="28"/>
          <w:szCs w:val="28"/>
        </w:rPr>
        <w:t>联系人及联系电话：</w:t>
      </w:r>
      <w:r>
        <w:rPr>
          <w:rFonts w:hint="eastAsia" w:ascii="仿宋" w:hAnsi="仿宋" w:eastAsia="仿宋"/>
          <w:color w:val="000000"/>
          <w:kern w:val="0"/>
          <w:sz w:val="28"/>
          <w:szCs w:val="28"/>
          <w:lang w:eastAsia="zh-CN"/>
        </w:rPr>
        <w:t>芦老师</w:t>
      </w:r>
      <w:r>
        <w:rPr>
          <w:rFonts w:hint="eastAsia" w:ascii="仿宋" w:hAnsi="仿宋" w:eastAsia="仿宋"/>
          <w:color w:val="000000"/>
          <w:kern w:val="0"/>
          <w:sz w:val="28"/>
          <w:szCs w:val="28"/>
        </w:rPr>
        <w:t xml:space="preserve"> </w:t>
      </w:r>
      <w:r>
        <w:rPr>
          <w:rFonts w:hint="eastAsia" w:ascii="仿宋" w:hAnsi="仿宋" w:eastAsia="仿宋"/>
          <w:color w:val="000000"/>
          <w:kern w:val="0"/>
          <w:sz w:val="28"/>
          <w:szCs w:val="28"/>
          <w:lang w:val="en-US" w:eastAsia="zh-CN"/>
        </w:rPr>
        <w:t>82266452</w:t>
      </w:r>
    </w:p>
    <w:p>
      <w:pPr>
        <w:adjustRightInd w:val="0"/>
        <w:snapToGrid w:val="0"/>
        <w:spacing w:line="500" w:lineRule="exact"/>
        <w:ind w:firstLine="548" w:firstLineChars="196"/>
        <w:rPr>
          <w:rFonts w:ascii="仿宋" w:hAnsi="仿宋" w:eastAsia="仿宋"/>
          <w:color w:val="000000"/>
          <w:kern w:val="0"/>
          <w:sz w:val="28"/>
          <w:szCs w:val="28"/>
        </w:rPr>
      </w:pPr>
    </w:p>
    <w:p>
      <w:pPr>
        <w:adjustRightInd w:val="0"/>
        <w:snapToGrid w:val="0"/>
        <w:spacing w:line="500" w:lineRule="exact"/>
        <w:ind w:right="1400"/>
        <w:jc w:val="right"/>
        <w:rPr>
          <w:rFonts w:hint="eastAsia" w:ascii="仿宋" w:hAnsi="仿宋" w:eastAsia="仿宋"/>
          <w:color w:val="000000"/>
          <w:kern w:val="0"/>
          <w:sz w:val="28"/>
          <w:szCs w:val="28"/>
          <w:lang w:eastAsia="zh-CN"/>
        </w:rPr>
      </w:pPr>
      <w:r>
        <w:rPr>
          <w:rFonts w:hint="eastAsia" w:ascii="仿宋" w:hAnsi="仿宋" w:eastAsia="仿宋"/>
          <w:color w:val="000000"/>
          <w:kern w:val="0"/>
          <w:sz w:val="28"/>
          <w:szCs w:val="28"/>
        </w:rPr>
        <w:t>完成单位（盖章）：</w:t>
      </w:r>
      <w:r>
        <w:rPr>
          <w:rFonts w:hint="eastAsia" w:ascii="仿宋" w:hAnsi="仿宋" w:eastAsia="仿宋"/>
          <w:color w:val="000000"/>
          <w:kern w:val="0"/>
          <w:sz w:val="28"/>
          <w:szCs w:val="28"/>
          <w:lang w:eastAsia="zh-CN"/>
        </w:rPr>
        <w:t>北京大学第三医院</w:t>
      </w:r>
    </w:p>
    <w:p>
      <w:pPr>
        <w:adjustRightInd w:val="0"/>
        <w:snapToGrid w:val="0"/>
        <w:spacing w:line="500" w:lineRule="exact"/>
        <w:ind w:right="1840"/>
        <w:jc w:val="right"/>
        <w:rPr>
          <w:rFonts w:eastAsia="仿宋_GB2312"/>
          <w:color w:val="000000"/>
          <w:kern w:val="0"/>
          <w:sz w:val="28"/>
          <w:szCs w:val="28"/>
        </w:rPr>
      </w:pPr>
      <w:r>
        <w:rPr>
          <w:rFonts w:hint="eastAsia" w:ascii="仿宋" w:hAnsi="仿宋" w:eastAsia="仿宋"/>
          <w:color w:val="000000"/>
          <w:kern w:val="0"/>
          <w:sz w:val="28"/>
          <w:szCs w:val="28"/>
          <w:lang w:val="en-US" w:eastAsia="zh-CN"/>
        </w:rPr>
        <w:t>2022</w:t>
      </w:r>
      <w:r>
        <w:rPr>
          <w:rFonts w:ascii="仿宋" w:hAnsi="仿宋" w:eastAsia="仿宋"/>
          <w:color w:val="000000"/>
          <w:kern w:val="0"/>
          <w:sz w:val="28"/>
          <w:szCs w:val="28"/>
        </w:rPr>
        <w:t xml:space="preserve">年 </w:t>
      </w:r>
      <w:r>
        <w:rPr>
          <w:rFonts w:hint="eastAsia" w:ascii="仿宋" w:hAnsi="仿宋" w:eastAsia="仿宋"/>
          <w:color w:val="000000"/>
          <w:kern w:val="0"/>
          <w:sz w:val="28"/>
          <w:szCs w:val="28"/>
          <w:lang w:val="en-US" w:eastAsia="zh-CN"/>
        </w:rPr>
        <w:t>4</w:t>
      </w:r>
      <w:r>
        <w:rPr>
          <w:rFonts w:ascii="仿宋" w:hAnsi="仿宋" w:eastAsia="仿宋"/>
          <w:color w:val="000000"/>
          <w:kern w:val="0"/>
          <w:sz w:val="28"/>
          <w:szCs w:val="28"/>
        </w:rPr>
        <w:t xml:space="preserve"> 月 </w:t>
      </w:r>
      <w:r>
        <w:rPr>
          <w:rFonts w:hint="eastAsia" w:ascii="仿宋" w:hAnsi="仿宋" w:eastAsia="仿宋"/>
          <w:color w:val="000000"/>
          <w:kern w:val="0"/>
          <w:sz w:val="28"/>
          <w:szCs w:val="28"/>
          <w:lang w:val="en-US" w:eastAsia="zh-CN"/>
        </w:rPr>
        <w:t>12</w:t>
      </w:r>
      <w:r>
        <w:rPr>
          <w:rFonts w:ascii="仿宋" w:hAnsi="仿宋" w:eastAsia="仿宋"/>
          <w:color w:val="000000"/>
          <w:kern w:val="0"/>
          <w:sz w:val="28"/>
          <w:szCs w:val="28"/>
        </w:rPr>
        <w:t xml:space="preserve"> 日</w:t>
      </w:r>
    </w:p>
    <w:p>
      <w:pPr>
        <w:adjustRightInd w:val="0"/>
        <w:snapToGrid w:val="0"/>
        <w:spacing w:line="500" w:lineRule="exact"/>
        <w:rPr>
          <w:rFonts w:ascii="仿宋" w:hAnsi="仿宋" w:eastAsia="仿宋"/>
          <w:color w:val="000000"/>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 w:hAnsi="仿宋" w:eastAsia="仿宋"/>
          <w:color w:val="000000"/>
          <w:kern w:val="0"/>
          <w:sz w:val="28"/>
          <w:szCs w:val="28"/>
        </w:rPr>
      </w:pPr>
      <w:r>
        <w:rPr>
          <w:rFonts w:ascii="仿宋" w:hAnsi="仿宋" w:eastAsia="仿宋"/>
          <w:color w:val="000000"/>
          <w:kern w:val="0"/>
          <w:sz w:val="28"/>
          <w:szCs w:val="28"/>
        </w:rPr>
        <w:t>附</w:t>
      </w:r>
      <w:r>
        <w:rPr>
          <w:rFonts w:hint="eastAsia" w:ascii="仿宋" w:hAnsi="仿宋" w:eastAsia="仿宋"/>
          <w:color w:val="000000"/>
          <w:kern w:val="0"/>
          <w:sz w:val="28"/>
          <w:szCs w:val="28"/>
        </w:rPr>
        <w:t>：</w:t>
      </w:r>
      <w:r>
        <w:rPr>
          <w:rFonts w:ascii="仿宋" w:hAnsi="仿宋" w:eastAsia="仿宋"/>
          <w:color w:val="000000"/>
          <w:kern w:val="0"/>
          <w:sz w:val="28"/>
          <w:szCs w:val="28"/>
        </w:rPr>
        <w:t>公示内容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olor w:val="000000"/>
          <w:kern w:val="0"/>
          <w:sz w:val="28"/>
          <w:szCs w:val="28"/>
        </w:rPr>
      </w:pPr>
      <w:r>
        <w:rPr>
          <w:rFonts w:ascii="仿宋" w:hAnsi="仿宋" w:eastAsia="仿宋"/>
          <w:color w:val="000000"/>
          <w:kern w:val="0"/>
          <w:sz w:val="28"/>
          <w:szCs w:val="28"/>
        </w:rPr>
        <w:t>项目名称：</w:t>
      </w:r>
      <w:r>
        <w:rPr>
          <w:rFonts w:hint="eastAsia" w:ascii="仿宋" w:hAnsi="仿宋" w:eastAsia="仿宋"/>
          <w:color w:val="000000"/>
          <w:kern w:val="0"/>
          <w:sz w:val="28"/>
          <w:szCs w:val="28"/>
        </w:rPr>
        <w:t>显微与影像解剖、多模态及智能可视化手术入路与技术在神经外科的研究与临床应用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olor w:val="000000"/>
          <w:kern w:val="0"/>
          <w:sz w:val="28"/>
          <w:szCs w:val="28"/>
        </w:rPr>
      </w:pPr>
      <w:r>
        <w:rPr>
          <w:rFonts w:hint="eastAsia" w:ascii="仿宋" w:hAnsi="仿宋" w:eastAsia="仿宋"/>
          <w:color w:val="000000"/>
          <w:kern w:val="0"/>
          <w:sz w:val="28"/>
          <w:szCs w:val="28"/>
        </w:rPr>
        <w:t>申报奖项类别：科学技术奖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olor w:val="000000"/>
          <w:kern w:val="0"/>
          <w:sz w:val="28"/>
          <w:szCs w:val="28"/>
        </w:rPr>
      </w:pPr>
      <w:r>
        <w:rPr>
          <w:rFonts w:hint="eastAsia" w:ascii="仿宋" w:hAnsi="仿宋" w:eastAsia="仿宋"/>
          <w:color w:val="000000"/>
          <w:kern w:val="0"/>
          <w:sz w:val="28"/>
          <w:szCs w:val="28"/>
        </w:rPr>
        <w:t>主要</w:t>
      </w:r>
      <w:r>
        <w:rPr>
          <w:rFonts w:ascii="仿宋" w:hAnsi="仿宋" w:eastAsia="仿宋"/>
          <w:color w:val="000000"/>
          <w:kern w:val="0"/>
          <w:sz w:val="28"/>
          <w:szCs w:val="28"/>
        </w:rPr>
        <w:t>完成单位（含排序）：</w:t>
      </w:r>
      <w:r>
        <w:rPr>
          <w:rFonts w:hint="eastAsia" w:ascii="仿宋" w:hAnsi="仿宋" w:eastAsia="仿宋"/>
          <w:color w:val="000000"/>
          <w:kern w:val="0"/>
          <w:sz w:val="28"/>
          <w:szCs w:val="28"/>
        </w:rPr>
        <w:t>北京大学第三医院、首都医科大学三博脑科医院、首都医科大学附属复兴医院、上海爱谨人工智能科技有限公司、颐邦（北京）智能科技有限公司</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kern w:val="0"/>
          <w:sz w:val="28"/>
          <w:szCs w:val="28"/>
        </w:rPr>
      </w:pPr>
      <w:r>
        <w:rPr>
          <w:rFonts w:hint="eastAsia" w:ascii="仿宋" w:hAnsi="仿宋" w:eastAsia="仿宋"/>
          <w:color w:val="000000"/>
          <w:kern w:val="0"/>
          <w:sz w:val="28"/>
          <w:szCs w:val="28"/>
        </w:rPr>
        <w:t>主要</w:t>
      </w:r>
      <w:r>
        <w:rPr>
          <w:rFonts w:ascii="仿宋" w:hAnsi="仿宋" w:eastAsia="仿宋"/>
          <w:color w:val="000000"/>
          <w:kern w:val="0"/>
          <w:sz w:val="28"/>
          <w:szCs w:val="28"/>
        </w:rPr>
        <w:t>完成人（含排序）：</w:t>
      </w:r>
      <w:r>
        <w:rPr>
          <w:rFonts w:hint="eastAsia" w:ascii="仿宋" w:hAnsi="仿宋" w:eastAsia="仿宋"/>
          <w:color w:val="000000"/>
          <w:kern w:val="0"/>
          <w:sz w:val="28"/>
          <w:szCs w:val="28"/>
        </w:rPr>
        <w:t>杨军、于春江、石祥</w:t>
      </w:r>
      <w:r>
        <w:rPr>
          <w:rFonts w:hint="eastAsia" w:ascii="仿宋" w:hAnsi="仿宋" w:eastAsia="仿宋"/>
          <w:kern w:val="0"/>
          <w:sz w:val="28"/>
          <w:szCs w:val="28"/>
        </w:rPr>
        <w:t>恩、孙建军、林国中、陈素华、杨辰龙、陈新、谭辰、叶泽轩</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olor w:val="000000"/>
          <w:kern w:val="0"/>
          <w:sz w:val="28"/>
          <w:szCs w:val="28"/>
        </w:rPr>
      </w:pPr>
      <w:r>
        <w:rPr>
          <w:rFonts w:ascii="仿宋" w:hAnsi="仿宋" w:eastAsia="仿宋"/>
          <w:color w:val="000000"/>
          <w:kern w:val="0"/>
          <w:sz w:val="28"/>
          <w:szCs w:val="28"/>
        </w:rPr>
        <w:t>项目简介（</w:t>
      </w:r>
      <w:r>
        <w:rPr>
          <w:rFonts w:hint="eastAsia" w:ascii="仿宋" w:hAnsi="仿宋" w:eastAsia="仿宋"/>
          <w:color w:val="000000"/>
          <w:kern w:val="0"/>
          <w:sz w:val="28"/>
          <w:szCs w:val="28"/>
        </w:rPr>
        <w:t>须</w:t>
      </w:r>
      <w:r>
        <w:rPr>
          <w:rFonts w:ascii="仿宋" w:hAnsi="仿宋" w:eastAsia="仿宋"/>
          <w:color w:val="000000"/>
          <w:kern w:val="0"/>
          <w:sz w:val="28"/>
          <w:szCs w:val="28"/>
        </w:rPr>
        <w:t>与</w:t>
      </w:r>
      <w:r>
        <w:rPr>
          <w:rFonts w:hint="eastAsia" w:ascii="仿宋" w:hAnsi="仿宋" w:eastAsia="仿宋"/>
          <w:color w:val="000000"/>
          <w:kern w:val="0"/>
          <w:sz w:val="28"/>
          <w:szCs w:val="28"/>
        </w:rPr>
        <w:t>《</w:t>
      </w:r>
      <w:r>
        <w:rPr>
          <w:rFonts w:ascii="仿宋" w:hAnsi="仿宋" w:eastAsia="仿宋"/>
          <w:color w:val="000000"/>
          <w:kern w:val="0"/>
          <w:sz w:val="28"/>
          <w:szCs w:val="28"/>
        </w:rPr>
        <w:t>申报推荐书</w:t>
      </w:r>
      <w:r>
        <w:rPr>
          <w:rFonts w:hint="eastAsia" w:ascii="仿宋" w:hAnsi="仿宋" w:eastAsia="仿宋"/>
          <w:color w:val="000000"/>
          <w:kern w:val="0"/>
          <w:sz w:val="28"/>
          <w:szCs w:val="28"/>
        </w:rPr>
        <w:t>》“</w:t>
      </w:r>
      <w:r>
        <w:rPr>
          <w:rFonts w:ascii="仿宋" w:hAnsi="仿宋" w:eastAsia="仿宋"/>
          <w:color w:val="000000"/>
          <w:kern w:val="0"/>
          <w:sz w:val="28"/>
          <w:szCs w:val="28"/>
        </w:rPr>
        <w:t>项目简介</w:t>
      </w:r>
      <w:r>
        <w:rPr>
          <w:rFonts w:hint="eastAsia" w:ascii="仿宋" w:hAnsi="仿宋" w:eastAsia="仿宋"/>
          <w:color w:val="000000"/>
          <w:kern w:val="0"/>
          <w:sz w:val="28"/>
          <w:szCs w:val="28"/>
        </w:rPr>
        <w:t>”</w:t>
      </w:r>
      <w:r>
        <w:rPr>
          <w:rFonts w:ascii="仿宋" w:hAnsi="仿宋" w:eastAsia="仿宋"/>
          <w:color w:val="000000"/>
          <w:kern w:val="0"/>
          <w:sz w:val="28"/>
          <w:szCs w:val="28"/>
        </w:rPr>
        <w:t>一致）：</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bCs/>
          <w:sz w:val="28"/>
          <w:szCs w:val="28"/>
        </w:rPr>
      </w:pPr>
      <w:r>
        <w:rPr>
          <w:rFonts w:hint="eastAsia" w:ascii="仿宋" w:hAnsi="仿宋" w:eastAsia="仿宋" w:cs="仿宋"/>
          <w:bCs/>
          <w:sz w:val="28"/>
          <w:szCs w:val="28"/>
        </w:rPr>
        <w:t>颅脑显微解剖是神经外科疾病诊断和手术治疗最为重要的基础，不仅影响手术入路的选择，更直接关乎术中病灶的切除程度以及功能区和血管神经的保护。近三十年来，神经外科手术的发展日新月异，不断涌现创新的微创手术入路，显著改善了患者预后。然而，颅底疾病仍然是神经外科的难点，主要是围绕颅底手术入路的显微解剖数据仍较缺乏，而且解剖理论较为晦涩、学习难度大，对手术医师的技术要求高。本研究团队依托于首都医科大学附属北京天坛医院、北京市神经外科研究所、首都医科大学附属复兴医院、首都医科大学三博脑科医院、北京大学第三医院，在国内率先对颅脑显微解剖展开系统研究，并与临床手术入路相结合，不仅对多种手术方式进行创新改良，还探索应用智能可视化技术，简化临床操作，缩短训练周期，提高手术精准度。</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bCs/>
          <w:sz w:val="28"/>
          <w:szCs w:val="28"/>
        </w:rPr>
      </w:pPr>
      <w:r>
        <w:rPr>
          <w:rFonts w:hint="eastAsia" w:ascii="仿宋" w:hAnsi="仿宋" w:eastAsia="仿宋" w:cs="仿宋"/>
          <w:bCs/>
          <w:sz w:val="28"/>
          <w:szCs w:val="28"/>
        </w:rPr>
        <w:t>本项目的主要创新点包括：1）颅底中央区及颅脑侧方手术入路的显微解剖是临床手术最重要的基础与难点，该部位是颅底肿瘤易发生和侵犯的区域，解剖关系极其复杂，对该局部解剖认识不足易导致构成Willis环的重要动脉和颅神经的损伤，产生严重神经功能缺损甚至死亡。本研究对颅底中央区和侧方入路进行了详实的显微和影像解剖研究，为手术提供直观的显微解剖图谱和详尽的解剖学参数，显著提高了术中利用相关间隙暴露病变的技术。2）在神经外科学术界中，大脑的静脉系统未得到充分重视，而静脉对暴露脑深部病灶的手术入路形成了重要的障碍，静脉损伤亦导致严重并发症。本课题针对大脑静脉系统，利用内窥镜无损伤、完整地、直视下研究上矢状窦及窦汇腔内纤维索结构、蛛网膜颗粒及中后段引流静脉入口处的形态，探明了大脑浅静脉的主要分型及其分支的显微解剖特征，明确了Trolard静脉对于纵裂手术入路的价值以及Labbe静脉对于颞枕手术入路的重要价值。3）开发并应用多模态影像融合分析技术，实现了颅内显微解剖结构的静态可视化，精准识别病灶边界、受累神经纤维束、功能区、供血动脉及引流静脉，显著提高了神经外科的术前规划效率和准确性。4）将智能可视化技术与显微及影像解剖研究相结合，通过三维动态拟真操作优化手术路径的规划并创新改良手术入路，提高功能保护率，降低并发症发生率，显著改善患者的预后。</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bCs/>
          <w:sz w:val="28"/>
          <w:szCs w:val="28"/>
        </w:rPr>
      </w:pPr>
      <w:r>
        <w:rPr>
          <w:rFonts w:hint="eastAsia" w:ascii="仿宋" w:hAnsi="仿宋" w:eastAsia="仿宋" w:cs="仿宋"/>
          <w:bCs/>
          <w:sz w:val="28"/>
          <w:szCs w:val="28"/>
        </w:rPr>
        <w:t>本项目的研究成果已推广至除新疆、西藏外所有省市自治区的300余家三级医院广泛应用，累计治疗患者近3万例。主办了10余届国家继续教育项目《全国颅底显微外科与手术入路学习班》，培养颅底外科专业人才400余名，本研究培养了13名博士后、23名博士生、125位硕士生、进修医师千余名。发表与本课题相关的论文139篇，其中SCI收录66篇、中华系列核心期刊收录73篇，出版专著11部，包括国内首部DTI成像和模拟神经外科著作，以及颅脑解剖专著已成为目前神经外科医师培训应用最广泛的教材之一，并于《中华神经外科杂志》组建《智能神经外科》专刊。本项目推动了精准神经外科的发展，产生了显著的经济效益和社会效益。</w:t>
      </w:r>
      <w:bookmarkStart w:id="0" w:name="_GoBack"/>
      <w:bookmarkEnd w:id="0"/>
    </w:p>
    <w:p>
      <w:pPr>
        <w:adjustRightInd w:val="0"/>
        <w:snapToGrid w:val="0"/>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代表性论文（专著）列表：（至少包含论文名称、刊名、年卷页码和作者）</w:t>
      </w:r>
    </w:p>
    <w:p>
      <w:pPr>
        <w:adjustRightInd w:val="0"/>
        <w:snapToGrid w:val="0"/>
        <w:spacing w:line="276" w:lineRule="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 Han S, Yang Z, Yang Y, Qi X, Yan C, Yu C</w:t>
      </w:r>
      <w:r>
        <w:rPr>
          <w:rFonts w:hint="default" w:ascii="Times New Roman" w:hAnsi="Times New Roman" w:cs="Times New Roman"/>
          <w:color w:val="000000"/>
          <w:kern w:val="0"/>
          <w:sz w:val="28"/>
          <w:szCs w:val="28"/>
          <w:vertAlign w:val="superscript"/>
        </w:rPr>
        <w:t>*</w:t>
      </w:r>
      <w:r>
        <w:rPr>
          <w:rFonts w:hint="default" w:ascii="Times New Roman" w:hAnsi="Times New Roman" w:cs="Times New Roman"/>
          <w:color w:val="000000"/>
          <w:kern w:val="0"/>
          <w:sz w:val="28"/>
          <w:szCs w:val="28"/>
        </w:rPr>
        <w:t>. Individual Treatment Decisions for Central Neurocytoma. Front Neurol. 2020 Aug 12;11:834.</w:t>
      </w:r>
    </w:p>
    <w:p>
      <w:pPr>
        <w:adjustRightInd w:val="0"/>
        <w:snapToGrid w:val="0"/>
        <w:spacing w:line="276" w:lineRule="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 Xiu C, Ma S, Zhang H, Wang Y, Yang J</w:t>
      </w:r>
      <w:r>
        <w:rPr>
          <w:rFonts w:hint="default" w:ascii="Times New Roman" w:hAnsi="Times New Roman" w:cs="Times New Roman"/>
          <w:color w:val="000000"/>
          <w:kern w:val="0"/>
          <w:sz w:val="28"/>
          <w:szCs w:val="28"/>
          <w:vertAlign w:val="superscript"/>
        </w:rPr>
        <w:t>*</w:t>
      </w:r>
      <w:r>
        <w:rPr>
          <w:rFonts w:hint="default" w:ascii="Times New Roman" w:hAnsi="Times New Roman" w:cs="Times New Roman"/>
          <w:color w:val="000000"/>
          <w:kern w:val="0"/>
          <w:sz w:val="28"/>
          <w:szCs w:val="28"/>
        </w:rPr>
        <w:t>. Tentorial meningiomas: surgical options, clinical feature and management experience in 43 patients. Clin Neurol Neurosurg. 2015 Mar;130:128-33.</w:t>
      </w:r>
    </w:p>
    <w:p>
      <w:pPr>
        <w:adjustRightInd w:val="0"/>
        <w:snapToGrid w:val="0"/>
        <w:spacing w:line="276" w:lineRule="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3. Yang J, Ma SC, Liu YH, Wei L, Zhang CY, Qi JF, Yu CJ</w:t>
      </w:r>
      <w:r>
        <w:rPr>
          <w:rFonts w:hint="default" w:ascii="Times New Roman" w:hAnsi="Times New Roman" w:cs="Times New Roman"/>
          <w:color w:val="000000"/>
          <w:kern w:val="0"/>
          <w:sz w:val="28"/>
          <w:szCs w:val="28"/>
          <w:vertAlign w:val="superscript"/>
        </w:rPr>
        <w:t>*</w:t>
      </w:r>
      <w:r>
        <w:rPr>
          <w:rFonts w:hint="default" w:ascii="Times New Roman" w:hAnsi="Times New Roman" w:cs="Times New Roman"/>
          <w:color w:val="000000"/>
          <w:kern w:val="0"/>
          <w:sz w:val="28"/>
          <w:szCs w:val="28"/>
        </w:rPr>
        <w:t>. Large and giant medial sphenoid wing meningiomas involving vascular structures: clinical features and management experience in 53 patients. Chin Med J (Engl). 2013 Dec;126(23):4470-4476.</w:t>
      </w:r>
    </w:p>
    <w:p>
      <w:pPr>
        <w:adjustRightInd w:val="0"/>
        <w:snapToGrid w:val="0"/>
        <w:spacing w:line="276" w:lineRule="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4. Yang J, Liu YH, Ma SC, Wei L, Lin RS, Qi JF, Hu YS, Yu CJ</w:t>
      </w:r>
      <w:r>
        <w:rPr>
          <w:rFonts w:hint="default" w:ascii="Times New Roman" w:hAnsi="Times New Roman" w:cs="Times New Roman"/>
          <w:color w:val="000000"/>
          <w:kern w:val="0"/>
          <w:sz w:val="28"/>
          <w:szCs w:val="28"/>
          <w:vertAlign w:val="superscript"/>
        </w:rPr>
        <w:t>*</w:t>
      </w:r>
      <w:r>
        <w:rPr>
          <w:rFonts w:hint="default" w:ascii="Times New Roman" w:hAnsi="Times New Roman" w:cs="Times New Roman"/>
          <w:color w:val="000000"/>
          <w:kern w:val="0"/>
          <w:sz w:val="28"/>
          <w:szCs w:val="28"/>
        </w:rPr>
        <w:t>. Subtemporal transtentorial petrosalapex approach for giant petroclival meningiomas: analyzation and evaluation of the clinical application. J Neurol Surg B Skull Base. 2012 Feb;73(1):54-63.</w:t>
      </w:r>
    </w:p>
    <w:p>
      <w:pPr>
        <w:adjustRightInd w:val="0"/>
        <w:snapToGrid w:val="0"/>
        <w:spacing w:line="276" w:lineRule="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 Yang J, Ma SC, Fang T, Qi JF, Hu YS, Yu CJ</w:t>
      </w:r>
      <w:r>
        <w:rPr>
          <w:rFonts w:hint="default" w:ascii="Times New Roman" w:hAnsi="Times New Roman" w:cs="Times New Roman"/>
          <w:color w:val="000000"/>
          <w:kern w:val="0"/>
          <w:sz w:val="28"/>
          <w:szCs w:val="28"/>
          <w:vertAlign w:val="superscript"/>
        </w:rPr>
        <w:t>*</w:t>
      </w:r>
      <w:r>
        <w:rPr>
          <w:rFonts w:hint="default" w:ascii="Times New Roman" w:hAnsi="Times New Roman" w:cs="Times New Roman"/>
          <w:color w:val="000000"/>
          <w:kern w:val="0"/>
          <w:sz w:val="28"/>
          <w:szCs w:val="28"/>
        </w:rPr>
        <w:t>. Subtemporal transpetrosal apex approach: study on its use in large and giant petroclival meningiomas. Chin Med J (Engl). 2011 Jan;124(1):49-55.</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6. Yang J, Fang T, Ma S, Yang S, Qi J, Qi Z, Cun E, Yu C</w:t>
      </w:r>
      <w:r>
        <w:rPr>
          <w:rFonts w:hint="default" w:ascii="Times New Roman" w:hAnsi="Times New Roman" w:cs="Times New Roman"/>
          <w:color w:val="000000"/>
          <w:kern w:val="0"/>
          <w:sz w:val="28"/>
          <w:szCs w:val="28"/>
          <w:vertAlign w:val="superscript"/>
        </w:rPr>
        <w:t>*</w:t>
      </w:r>
      <w:r>
        <w:rPr>
          <w:rFonts w:hint="default" w:ascii="Times New Roman" w:hAnsi="Times New Roman" w:cs="Times New Roman"/>
          <w:color w:val="000000"/>
          <w:kern w:val="0"/>
          <w:sz w:val="28"/>
          <w:szCs w:val="28"/>
        </w:rPr>
        <w:t>. Large and giant petroclival meningiomas: therapeutic strategy and the choice of microsurgical approaches-report of the experience with 41 cases. Br J Neurosurg. 2011 Feb;25(1):78-85.</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7.孙建军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陈素华, 尹晓亮, 陈新, 杨辰龙, 于涛, 马千权, 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常青, 田素青,马长城, 韩芸峰, 刘颖, 吴超. 侧方非功能区入路切除功能区脑胶质瘤. 中国微创外科杂志, 2021, 21(02):112-116.</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8.陈素华, 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陈新, 孙建军, 马长城, 林国中, 韩芸峰, 司雨, 吴超, 杨辰龙. 多模态影像三维重建联合神经导航在功能区胶质瘤手术中的应用. 中华神经外科杂志, 2021, 37(09):874-879.</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9.林国中, 孙建军, 陈素华, 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侵及上矢状窦大型和巨大型脑膜瘤的显微外科治疗. 中华神经外科杂志, 2020, 36(3):243-247.</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10.陈素华, 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马顺昌, 齐建发, 寸恩浩, 常永凯, 石祥恩. 虚拟现实技术在颅颈交界区病变手术中的应用. 中华神经外科杂志. 2018, 34(6):591-595.</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11.刘军, 曲荣波, 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刘树伟, 王新功, 徐启飞, 衡雪源. 基于超薄标本断面建立后颅窝三维模型. 中华神经外科杂志. 2016, 32(9):923-926.</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12.马顺昌, 陈素华, 胡业帅, 齐建发, 李志强, 金声扬, 石祥恩, 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Dextroscope虚拟现实计划系统在垂体瘤手术中的应用研究. 中国微侵袭神经外科杂志. 2014, 11(19):485-487.</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13.陈素华, 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马顺昌, 寸恩浩, 石祥恩. 虚拟现实技术在颈内-后交通动脉动脉瘤个体化治疗中的应用. 中华神经外科杂志, 2014, 30(1):43-46.</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14.马顺昌, 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陈素华, 胡业帅. 经鼻蝶入路相关结构的显微解剖与影像解剖及虚拟现实研究. 中国医刊. 2013, 48(7):32-34.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color w:val="000000"/>
          <w:kern w:val="0"/>
          <w:sz w:val="28"/>
          <w:szCs w:val="28"/>
        </w:rPr>
        <w:t>15.杨军</w:t>
      </w:r>
      <w:r>
        <w:rPr>
          <w:rFonts w:hint="eastAsia" w:ascii="仿宋" w:hAnsi="仿宋" w:eastAsia="仿宋" w:cs="仿宋"/>
          <w:color w:val="000000"/>
          <w:kern w:val="0"/>
          <w:sz w:val="28"/>
          <w:szCs w:val="28"/>
          <w:vertAlign w:val="superscript"/>
        </w:rPr>
        <w:t>*</w:t>
      </w:r>
      <w:r>
        <w:rPr>
          <w:rFonts w:hint="eastAsia" w:ascii="仿宋" w:hAnsi="仿宋" w:eastAsia="仿宋" w:cs="仿宋"/>
          <w:color w:val="000000"/>
          <w:kern w:val="0"/>
          <w:sz w:val="28"/>
          <w:szCs w:val="28"/>
        </w:rPr>
        <w:t>, 吴喜, 刘吉祥, 林瑞生, 李志强, 马顺昌, 齐建发, 寸恩浩, 于春江. 视神经管外侧壁涉及相关结构的应用显微和影像解剖研究. 中华医学杂志. 2011, 91(5):322-327.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embedRegular r:id="rId1" w:fontKey="{B8D61D8B-B27D-4967-B772-79737ECE7EF3}"/>
  </w:font>
  <w:font w:name="方正小标宋_GBK">
    <w:panose1 w:val="02000000000000000000"/>
    <w:charset w:val="86"/>
    <w:family w:val="script"/>
    <w:pitch w:val="default"/>
    <w:sig w:usb0="A00002BF" w:usb1="38CF7CFA" w:usb2="00082016" w:usb3="00000000" w:csb0="00040001" w:csb1="00000000"/>
    <w:embedRegular r:id="rId2" w:fontKey="{0DD33370-C0FC-4205-8967-E63B6EF24298}"/>
  </w:font>
  <w:font w:name="仿宋_GB2312">
    <w:altName w:val="仿宋"/>
    <w:panose1 w:val="020B0604020202020204"/>
    <w:charset w:val="86"/>
    <w:family w:val="modern"/>
    <w:pitch w:val="default"/>
    <w:sig w:usb0="00000000" w:usb1="00000000" w:usb2="00000000" w:usb3="00000000" w:csb0="00040000" w:csb1="00000000"/>
    <w:embedRegular r:id="rId3" w:fontKey="{09B36E65-CD4E-4F82-981B-641FCC13314E}"/>
  </w:font>
  <w:font w:name="仿宋">
    <w:panose1 w:val="02010609060101010101"/>
    <w:charset w:val="86"/>
    <w:family w:val="auto"/>
    <w:pitch w:val="default"/>
    <w:sig w:usb0="800002BF" w:usb1="38CF7CFA" w:usb2="00000016" w:usb3="00000000" w:csb0="00040001" w:csb1="00000000"/>
    <w:embedRegular r:id="rId4" w:fontKey="{B42BCFDE-2213-4DB4-988A-86553BFAAC71}"/>
  </w:font>
  <w:font w:name="方正公文小标宋">
    <w:panose1 w:val="02000500000000000000"/>
    <w:charset w:val="86"/>
    <w:family w:val="auto"/>
    <w:pitch w:val="default"/>
    <w:sig w:usb0="A00002BF" w:usb1="38CF7CFA" w:usb2="00000016" w:usb3="00000000" w:csb0="00040001" w:csb1="00000000"/>
  </w:font>
  <w:font w:name="Andalus">
    <w:panose1 w:val="02020603050405020304"/>
    <w:charset w:val="00"/>
    <w:family w:val="auto"/>
    <w:pitch w:val="default"/>
    <w:sig w:usb0="00002003" w:usb1="80000000" w:usb2="00000008"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D1"/>
    <w:rsid w:val="00024490"/>
    <w:rsid w:val="000D42BC"/>
    <w:rsid w:val="00120DD1"/>
    <w:rsid w:val="00144293"/>
    <w:rsid w:val="00173581"/>
    <w:rsid w:val="00185FC6"/>
    <w:rsid w:val="001933A1"/>
    <w:rsid w:val="00330FE7"/>
    <w:rsid w:val="003E2502"/>
    <w:rsid w:val="004957D2"/>
    <w:rsid w:val="0072595E"/>
    <w:rsid w:val="00AD2C69"/>
    <w:rsid w:val="00B76927"/>
    <w:rsid w:val="00C35B56"/>
    <w:rsid w:val="00D4294B"/>
    <w:rsid w:val="00D70F27"/>
    <w:rsid w:val="00D7262B"/>
    <w:rsid w:val="00D976C8"/>
    <w:rsid w:val="00DC1B5B"/>
    <w:rsid w:val="00E224B4"/>
    <w:rsid w:val="00E43E24"/>
    <w:rsid w:val="00F75C11"/>
    <w:rsid w:val="00F75E6C"/>
    <w:rsid w:val="00FD3B4D"/>
    <w:rsid w:val="7002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2290</Words>
  <Characters>3375</Characters>
  <Lines>26</Lines>
  <Paragraphs>7</Paragraphs>
  <TotalTime>12</TotalTime>
  <ScaleCrop>false</ScaleCrop>
  <LinksUpToDate>false</LinksUpToDate>
  <CharactersWithSpaces>3688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2022-04-07T16:14:00Z</dcterms:created>
  <dc:creator>YANG Vik</dc:creator>
  <cp:lastModifiedBy>芦欣怡</cp:lastModifiedBy>
  <dcterms:modified xsi:type="dcterms:W3CDTF">2022-04-12T07:29:00Z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D7D584A0D6614D63B31C00B7063A6676</vt:lpwstr>
  </property>
</Properties>
</file>