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小标宋简体" w:cs="Times New Roman"/>
          <w:bCs/>
          <w:sz w:val="36"/>
          <w:szCs w:val="36"/>
        </w:rPr>
      </w:pPr>
      <w:bookmarkStart w:id="6" w:name="_GoBack"/>
      <w:r>
        <w:rPr>
          <w:rFonts w:hint="eastAsia" w:ascii="Times New Roman" w:hAnsi="Times New Roman" w:eastAsia="方正小标宋简体" w:cs="Times New Roman"/>
          <w:bCs/>
          <w:sz w:val="36"/>
          <w:szCs w:val="36"/>
        </w:rPr>
        <w:t>附件</w:t>
      </w:r>
    </w:p>
    <w:p>
      <w:pPr>
        <w:jc w:val="center"/>
        <w:rPr>
          <w:rFonts w:ascii="Times New Roman" w:hAnsi="Times New Roman" w:eastAsia="方正小标宋简体" w:cs="Times New Roman"/>
          <w:b/>
          <w:sz w:val="36"/>
          <w:szCs w:val="36"/>
        </w:rPr>
      </w:pPr>
      <w:r>
        <w:rPr>
          <w:rFonts w:ascii="Times New Roman" w:hAnsi="Times New Roman" w:eastAsia="方正小标宋简体" w:cs="Times New Roman"/>
          <w:bCs/>
          <w:sz w:val="36"/>
          <w:szCs w:val="36"/>
        </w:rPr>
        <w:t>浙江省科学技术奖公示信息表</w:t>
      </w:r>
      <w:bookmarkEnd w:id="6"/>
      <w:r>
        <w:rPr>
          <w:rFonts w:ascii="Times New Roman" w:hAnsi="Times New Roman" w:eastAsia="仿宋_GB2312" w:cs="Times New Roman"/>
          <w:bCs/>
          <w:sz w:val="32"/>
          <w:szCs w:val="32"/>
        </w:rPr>
        <w:t>（单位提名）</w:t>
      </w:r>
    </w:p>
    <w:p>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67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730" w:type="dxa"/>
            <w:vAlign w:val="center"/>
          </w:tcPr>
          <w:p>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成果名称</w:t>
            </w:r>
          </w:p>
        </w:tc>
        <w:tc>
          <w:tcPr>
            <w:tcW w:w="6776" w:type="dxa"/>
            <w:vAlign w:val="center"/>
          </w:tcPr>
          <w:p>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重点职业病危害因素暴露监测与预警新技术研究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730" w:type="dxa"/>
            <w:vAlign w:val="center"/>
          </w:tcPr>
          <w:p>
            <w:pPr>
              <w:jc w:val="center"/>
              <w:rPr>
                <w:rFonts w:ascii="Times New Roman" w:hAnsi="Times New Roman" w:eastAsia="仿宋_GB2312" w:cs="Times New Roman"/>
                <w:bCs/>
                <w:sz w:val="28"/>
                <w:szCs w:val="24"/>
              </w:rPr>
            </w:pPr>
            <w:r>
              <w:rPr>
                <w:rFonts w:ascii="Times New Roman" w:hAnsi="Times New Roman" w:eastAsia="仿宋_GB2312" w:cs="Times New Roman"/>
                <w:sz w:val="28"/>
                <w:szCs w:val="24"/>
              </w:rPr>
              <w:t>提名等级</w:t>
            </w:r>
          </w:p>
        </w:tc>
        <w:tc>
          <w:tcPr>
            <w:tcW w:w="6776" w:type="dxa"/>
            <w:vAlign w:val="center"/>
          </w:tcPr>
          <w:p>
            <w:pPr>
              <w:jc w:val="center"/>
              <w:rPr>
                <w:rFonts w:ascii="Times New Roman" w:hAnsi="Times New Roman" w:eastAsia="仿宋_GB2312" w:cs="Times New Roman"/>
                <w:bCs/>
                <w:sz w:val="28"/>
                <w:szCs w:val="24"/>
              </w:rPr>
            </w:pPr>
            <w:r>
              <w:rPr>
                <w:rFonts w:hint="eastAsia" w:ascii="Times New Roman" w:hAnsi="Times New Roman" w:eastAsia="仿宋_GB2312" w:cs="Times New Roman"/>
                <w:bCs/>
                <w:sz w:val="28"/>
                <w:szCs w:val="24"/>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trPr>
        <w:tc>
          <w:tcPr>
            <w:tcW w:w="1730" w:type="dxa"/>
            <w:vAlign w:val="center"/>
          </w:tcPr>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776" w:type="dxa"/>
            <w:vAlign w:val="center"/>
          </w:tcPr>
          <w:p>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科学技术进步奖：提名书的主要知识产权和标准规范目录、代表性论文专著目录</w:t>
            </w:r>
            <w:r>
              <w:rPr>
                <w:rFonts w:hint="eastAsia" w:ascii="Times New Roman" w:hAnsi="Times New Roman" w:eastAsia="仿宋_GB2312" w:cs="Times New Roman"/>
                <w:bCs/>
                <w:sz w:val="24"/>
                <w:szCs w:val="24"/>
              </w:rPr>
              <w:t>（附后）</w:t>
            </w:r>
            <w:r>
              <w:rPr>
                <w:rFonts w:ascii="Times New Roman" w:hAnsi="Times New Roman" w:eastAsia="仿宋_GB2312" w:cs="Times New Roman"/>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730" w:type="dxa"/>
            <w:tcBorders>
              <w:right w:val="single" w:color="auto" w:sz="4" w:space="0"/>
            </w:tcBorders>
            <w:vAlign w:val="center"/>
          </w:tcPr>
          <w:p>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776" w:type="dxa"/>
            <w:tcBorders>
              <w:left w:val="single" w:color="auto" w:sz="4" w:space="0"/>
            </w:tcBorders>
            <w:vAlign w:val="center"/>
          </w:tcPr>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楼晓明，排名1，主任医师，浙江省疾病预防控制中心；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张美辨，排名2，主任医师，中国疾病预防控制中心职业卫生与中毒控制所；</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邹华，排名3，副主任医师，浙江省疾病预防控制中心；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 xml:space="preserve">高向景，排名4，副主任医师，浙江省疾病预防控制中心； </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周莉芳，排名5，副主任医师，浙江省疾病预防控制中心；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谢红卫，排名6，副主任技师，浙江省疾病预防控制中心；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黄育文，排名7，副主任药师，北京大学第三医院;</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袁伟明，排名8，副主任医师，浙江省疾病预防控制中心；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熊文波，排名9，高级工程师，杭州爱华智能科技有限公司；</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胡伟江，排名10，副研究员，中国疾病预防控制中心职业卫生与中毒控制所；</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徐秋凉，排名11，高级工程师，浙江省疾病预防控制中心；</w:t>
            </w:r>
          </w:p>
          <w:p>
            <w:pPr>
              <w:spacing w:line="440" w:lineRule="exact"/>
              <w:rPr>
                <w:rFonts w:ascii="仿宋_GB2312" w:hAnsi="宋体" w:eastAsia="仿宋_GB2312" w:cs="宋体"/>
                <w:sz w:val="24"/>
                <w:szCs w:val="24"/>
              </w:rPr>
            </w:pPr>
            <w:r>
              <w:rPr>
                <w:rFonts w:hint="eastAsia" w:ascii="仿宋_GB2312" w:hAnsi="宋体" w:eastAsia="仿宋_GB2312" w:cs="宋体"/>
                <w:sz w:val="24"/>
                <w:szCs w:val="24"/>
              </w:rPr>
              <w:t>李飞，排名12，副主任医师，浙江省疾病预防控制中心；</w:t>
            </w:r>
          </w:p>
          <w:p>
            <w:pPr>
              <w:spacing w:line="440" w:lineRule="exact"/>
              <w:rPr>
                <w:rFonts w:ascii="Times New Roman" w:hAnsi="Times New Roman" w:eastAsia="仿宋_GB2312" w:cs="Times New Roman"/>
                <w:bCs/>
                <w:sz w:val="24"/>
                <w:szCs w:val="24"/>
              </w:rPr>
            </w:pPr>
            <w:r>
              <w:rPr>
                <w:rFonts w:hint="default" w:ascii="仿宋_GB2312" w:hAnsi="宋体" w:eastAsia="仿宋_GB2312" w:cs="宋体"/>
                <w:sz w:val="24"/>
                <w:szCs w:val="24"/>
              </w:rPr>
              <w:t>胡勇，排名13，工程师，</w:t>
            </w:r>
            <w:r>
              <w:rPr>
                <w:rFonts w:hint="eastAsia" w:ascii="仿宋_GB2312" w:hAnsi="宋体" w:eastAsia="仿宋_GB2312" w:cs="宋体"/>
                <w:sz w:val="24"/>
                <w:szCs w:val="24"/>
              </w:rPr>
              <w:t>浙江省疾病预防控制中心。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730" w:type="dxa"/>
            <w:tcBorders>
              <w:right w:val="single" w:color="auto" w:sz="4" w:space="0"/>
            </w:tcBorders>
            <w:vAlign w:val="center"/>
          </w:tcPr>
          <w:p>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776" w:type="dxa"/>
            <w:tcBorders>
              <w:left w:val="single" w:color="auto" w:sz="4" w:space="0"/>
            </w:tcBorders>
            <w:vAlign w:val="center"/>
          </w:tcPr>
          <w:p>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1.单位名称：</w:t>
            </w:r>
            <w:r>
              <w:rPr>
                <w:rFonts w:hint="eastAsia" w:ascii="Times New Roman" w:hAnsi="Times New Roman" w:eastAsia="仿宋_GB2312" w:cs="Times New Roman"/>
                <w:bCs/>
                <w:sz w:val="24"/>
                <w:szCs w:val="24"/>
              </w:rPr>
              <w:t>浙江省疾病预防控制中心</w:t>
            </w:r>
          </w:p>
          <w:p>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2.单位名称：</w:t>
            </w:r>
            <w:r>
              <w:rPr>
                <w:rFonts w:hint="eastAsia" w:ascii="Times New Roman" w:hAnsi="Times New Roman" w:eastAsia="仿宋_GB2312" w:cs="Times New Roman"/>
                <w:bCs/>
                <w:sz w:val="24"/>
                <w:szCs w:val="24"/>
              </w:rPr>
              <w:t>中国疾病预防控制中心职业卫生与中毒控制所</w:t>
            </w:r>
          </w:p>
          <w:p>
            <w:pPr>
              <w:spacing w:line="440" w:lineRule="exact"/>
              <w:jc w:val="left"/>
              <w:rPr>
                <w:rFonts w:hint="default" w:ascii="Times New Roman" w:hAnsi="Times New Roman" w:eastAsia="仿宋_GB2312" w:cs="Times New Roman"/>
                <w:bCs/>
                <w:sz w:val="24"/>
                <w:szCs w:val="24"/>
              </w:rPr>
            </w:pPr>
            <w:r>
              <w:rPr>
                <w:rFonts w:ascii="Times New Roman" w:hAnsi="Times New Roman" w:eastAsia="仿宋_GB2312" w:cs="Times New Roman"/>
                <w:bCs/>
                <w:sz w:val="24"/>
                <w:szCs w:val="24"/>
              </w:rPr>
              <w:t>3.单位名称：浙江大学医学院附属第二医院</w:t>
            </w:r>
          </w:p>
          <w:p>
            <w:pPr>
              <w:spacing w:line="440" w:lineRule="exact"/>
              <w:jc w:val="left"/>
              <w:rPr>
                <w:rFonts w:ascii="Times New Roman" w:hAnsi="Times New Roman" w:eastAsia="仿宋_GB2312" w:cs="Times New Roman"/>
                <w:bCs/>
                <w:sz w:val="24"/>
                <w:szCs w:val="24"/>
              </w:rPr>
            </w:pPr>
            <w:r>
              <w:rPr>
                <w:rFonts w:ascii="Times New Roman" w:hAnsi="Times New Roman" w:eastAsia="仿宋_GB2312" w:cs="Times New Roman"/>
                <w:bCs/>
                <w:sz w:val="24"/>
                <w:szCs w:val="24"/>
              </w:rPr>
              <w:t>4.单位名称：</w:t>
            </w:r>
            <w:r>
              <w:rPr>
                <w:rFonts w:hint="eastAsia" w:ascii="Times New Roman" w:hAnsi="Times New Roman" w:eastAsia="仿宋_GB2312" w:cs="Times New Roman"/>
                <w:bCs/>
                <w:sz w:val="24"/>
                <w:szCs w:val="24"/>
              </w:rPr>
              <w:t>杭州爱华智能科技有限公司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730" w:type="dxa"/>
            <w:vAlign w:val="center"/>
          </w:tcPr>
          <w:p>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提名单位</w:t>
            </w:r>
          </w:p>
        </w:tc>
        <w:tc>
          <w:tcPr>
            <w:tcW w:w="6776" w:type="dxa"/>
            <w:vAlign w:val="center"/>
          </w:tcPr>
          <w:p>
            <w:pPr>
              <w:contextualSpacing/>
              <w:jc w:val="center"/>
              <w:rPr>
                <w:rFonts w:ascii="Times New Roman" w:hAnsi="Times New Roman" w:eastAsia="宋体" w:cs="Times New Roman"/>
                <w:bCs/>
                <w:sz w:val="24"/>
                <w:szCs w:val="24"/>
              </w:rPr>
            </w:pPr>
            <w:r>
              <w:rPr>
                <w:rFonts w:hint="eastAsia" w:ascii="仿宋_GB2312" w:eastAsia="仿宋_GB2312"/>
                <w:sz w:val="24"/>
                <w:szCs w:val="24"/>
              </w:rPr>
              <w:t>浙江省卫生健康委员会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730" w:type="dxa"/>
            <w:vAlign w:val="center"/>
          </w:tcPr>
          <w:p>
            <w:pPr>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提名意见</w:t>
            </w:r>
          </w:p>
        </w:tc>
        <w:tc>
          <w:tcPr>
            <w:tcW w:w="6776" w:type="dxa"/>
            <w:vAlign w:val="center"/>
          </w:tcPr>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该项目针对工作场所纳米粉尘和噪声两类重点职业危害因素的暴露监测和风险预警开展技术创新和实践应用，攻克了监测指标不明确、测量方法缺乏以及风险预警技术匮乏的难题，率先搭建全省统一的职业健康风险预警平台，提升了全省职业健康信息化水平，推动我省职业健康防治工作现代化。</w:t>
            </w:r>
          </w:p>
          <w:p>
            <w:pPr>
              <w:spacing w:line="440" w:lineRule="exact"/>
              <w:ind w:firstLine="480" w:firstLineChars="200"/>
              <w:jc w:val="left"/>
              <w:rPr>
                <w:rFonts w:ascii="仿宋_GB2312" w:eastAsia="仿宋_GB2312"/>
                <w:sz w:val="24"/>
                <w:szCs w:val="24"/>
              </w:rPr>
            </w:pPr>
            <w:r>
              <w:rPr>
                <w:rFonts w:hint="eastAsia" w:ascii="仿宋_GB2312" w:eastAsia="仿宋_GB2312"/>
                <w:sz w:val="24"/>
                <w:szCs w:val="24"/>
              </w:rPr>
              <w:t>该项目首次阐明工作场所空气中纳米粉尘暴露特征，研制了我国首个工作场所纳米粉尘测量标准。建立了峰度调整噪声能量指标的方法，该方法被国际标准组织采纳为噪声</w:t>
            </w:r>
            <w:r>
              <w:rPr>
                <w:rFonts w:ascii="仿宋_GB2312" w:eastAsia="仿宋_GB2312"/>
                <w:sz w:val="24"/>
                <w:szCs w:val="24"/>
              </w:rPr>
              <w:t>ISO1999标准（2013版本）修订依据。研制了我国首个具有测量和记录噪声能量与峰度功能的智能噪声自动监测仪</w:t>
            </w:r>
            <w:r>
              <w:rPr>
                <w:rFonts w:hint="eastAsia" w:ascii="仿宋_GB2312" w:eastAsia="仿宋_GB2312"/>
                <w:sz w:val="24"/>
                <w:szCs w:val="24"/>
              </w:rPr>
              <w:t>。建立我国首个职业风险评估标准，设计了自动风险评估模型。相关暴露监测技术和风险评估标准等研究成果在省内外各类职业病防治机构和技术服务机构得到广泛应用，实现重点行业的职业危害风险从高风险降至低风险，劳动者职业健康检查无异常，切实保障了劳动者健康。建立了覆盖劳动者信息、职业病危害因素、职业健康检查在内的大数据中心，搭建了全国首个智能监测预警平台，为“健康浙江”和“数字浙江”建设提供有力的技术支撑。项目共产出代表论文</w:t>
            </w:r>
            <w:r>
              <w:rPr>
                <w:rFonts w:ascii="仿宋_GB2312" w:eastAsia="仿宋_GB2312"/>
                <w:sz w:val="24"/>
                <w:szCs w:val="24"/>
              </w:rPr>
              <w:t>65篇，制定国家标准2项，获授权实用新型专利3项、计量器具型式批准证书1份、</w:t>
            </w:r>
            <w:r>
              <w:rPr>
                <w:rFonts w:hint="eastAsia" w:ascii="仿宋_GB2312" w:eastAsia="仿宋_GB2312"/>
                <w:sz w:val="24"/>
                <w:szCs w:val="24"/>
              </w:rPr>
              <w:t>装置1项、</w:t>
            </w:r>
            <w:r>
              <w:rPr>
                <w:rFonts w:ascii="仿宋_GB2312" w:eastAsia="仿宋_GB2312"/>
                <w:sz w:val="24"/>
                <w:szCs w:val="24"/>
              </w:rPr>
              <w:t>软著15项，发表著作4部</w:t>
            </w:r>
            <w:r>
              <w:rPr>
                <w:rFonts w:hint="eastAsia" w:ascii="仿宋_GB2312" w:eastAsia="仿宋_GB2312"/>
                <w:sz w:val="24"/>
                <w:szCs w:val="24"/>
              </w:rPr>
              <w:t>。</w:t>
            </w:r>
          </w:p>
          <w:p>
            <w:pPr>
              <w:contextualSpacing/>
              <w:jc w:val="center"/>
              <w:rPr>
                <w:rFonts w:ascii="Times New Roman" w:hAnsi="Times New Roman" w:eastAsia="宋体" w:cs="Times New Roman"/>
                <w:bCs/>
                <w:sz w:val="24"/>
                <w:szCs w:val="24"/>
              </w:rPr>
            </w:pPr>
          </w:p>
        </w:tc>
      </w:tr>
    </w:tbl>
    <w:p/>
    <w:p>
      <w:pPr>
        <w:sectPr>
          <w:pgSz w:w="11906" w:h="16838"/>
          <w:pgMar w:top="1440" w:right="1800" w:bottom="1440" w:left="1800" w:header="851" w:footer="992" w:gutter="0"/>
          <w:cols w:space="425" w:num="1"/>
          <w:docGrid w:type="lines" w:linePitch="312" w:charSpace="0"/>
        </w:sectPr>
      </w:pPr>
    </w:p>
    <w:p>
      <w:pPr>
        <w:widowControl/>
        <w:jc w:val="center"/>
        <w:rPr>
          <w:rFonts w:ascii="方正黑体简体" w:hAnsi="宋体" w:eastAsia="方正黑体简体" w:cs="Times New Roman"/>
          <w:color w:val="000000" w:themeColor="text1"/>
          <w:sz w:val="32"/>
          <w14:textFill>
            <w14:solidFill>
              <w14:schemeClr w14:val="tx1"/>
            </w14:solidFill>
          </w14:textFill>
        </w:rPr>
      </w:pPr>
      <w:r>
        <w:rPr>
          <w:rFonts w:hint="eastAsia" w:ascii="方正黑体简体" w:hAnsi="宋体" w:eastAsia="方正黑体简体" w:cs="Times New Roman"/>
          <w:color w:val="000000" w:themeColor="text1"/>
          <w:sz w:val="32"/>
          <w14:textFill>
            <w14:solidFill>
              <w14:schemeClr w14:val="tx1"/>
            </w14:solidFill>
          </w14:textFill>
        </w:rPr>
        <w:t>主要知识产权和标准规范目录</w:t>
      </w:r>
    </w:p>
    <w:tbl>
      <w:tblPr>
        <w:tblStyle w:val="2"/>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577"/>
        <w:gridCol w:w="992"/>
        <w:gridCol w:w="1655"/>
        <w:gridCol w:w="1213"/>
        <w:gridCol w:w="1213"/>
        <w:gridCol w:w="1213"/>
        <w:gridCol w:w="221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w:t>
            </w:r>
          </w:p>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国家</w:t>
            </w:r>
          </w:p>
          <w:p>
            <w:pPr>
              <w:jc w:val="center"/>
              <w:rPr>
                <w:rFonts w:ascii="仿宋_GB2312" w:hAnsi="宋体" w:eastAsia="仿宋_GB2312"/>
                <w:bCs/>
                <w:snapToGrid w:val="0"/>
                <w:color w:val="000000" w:themeColor="text1"/>
                <w:kern w:val="0"/>
                <w:sz w:val="24"/>
                <w:szCs w:val="21"/>
                <w14:textFill>
                  <w14:solidFill>
                    <w14:schemeClr w14:val="tx1"/>
                  </w14:solidFill>
                </w14:textFill>
              </w:rPr>
            </w:pPr>
            <w:r>
              <w:rPr>
                <w:rFonts w:hint="eastAsia" w:ascii="仿宋_GB2312" w:hAnsi="宋体" w:eastAsia="仿宋_GB2312"/>
                <w:bCs/>
                <w:snapToGrid w:val="0"/>
                <w:color w:val="000000" w:themeColor="text1"/>
                <w:kern w:val="0"/>
                <w:sz w:val="24"/>
                <w:szCs w:val="21"/>
                <w14:textFill>
                  <w14:solidFill>
                    <w14:schemeClr w14:val="tx1"/>
                  </w14:solidFill>
                </w14:textFill>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（标准规范编号）</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w:t>
            </w:r>
          </w:p>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（标准发布）</w:t>
            </w:r>
          </w:p>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发明人（标准规范起草人）</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w:t>
            </w:r>
          </w:p>
        </w:tc>
        <w:tc>
          <w:tcPr>
            <w:tcW w:w="2577"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工作场所空气中粉尘测定 第6部分：超细颗粒和细颗粒总数量浓度</w:t>
            </w:r>
          </w:p>
        </w:tc>
        <w:tc>
          <w:tcPr>
            <w:tcW w:w="992"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中国</w:t>
            </w:r>
          </w:p>
        </w:tc>
        <w:tc>
          <w:tcPr>
            <w:tcW w:w="165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GBZ/T 192.6—2018</w:t>
            </w:r>
            <w:r>
              <w:rPr>
                <w:rFonts w:hint="eastAsia" w:ascii="仿宋_GB2312" w:hAnsi="宋体" w:eastAsia="仿宋_GB2312"/>
                <w:color w:val="000000" w:themeColor="text1"/>
                <w:sz w:val="24"/>
                <w:szCs w:val="21"/>
                <w14:textFill>
                  <w14:solidFill>
                    <w14:schemeClr w14:val="tx1"/>
                  </w14:solidFill>
                </w14:textFill>
              </w:rPr>
              <w:t xml:space="preserve"> </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2018-07-16</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中华人民共和国国家卫生健康委员会</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浙江省疾病预防控制中心、北京市劳动保护科学研究所、中国疾病预防控制中心职业卫生与中毒控制所、浙江省医学科学院、广东省职业病防治院</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张美辨、唐仕川、张敏、邢鸣鸾、邹华、高向景、周莉芳、方兴林、谢红卫、赵海英、胡伟江、张幸、黄汉林、付朝晖、陈钧强、程继鹏、简乐、常兵</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w:t>
            </w:r>
          </w:p>
        </w:tc>
        <w:tc>
          <w:tcPr>
            <w:tcW w:w="2577"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工作场所化学有害因素职业健康风险评估技术导则</w:t>
            </w:r>
          </w:p>
          <w:p>
            <w:pPr>
              <w:rPr>
                <w:rFonts w:ascii="仿宋_GB2312" w:hAnsi="宋体" w:eastAsia="仿宋_GB2312"/>
                <w:color w:val="000000" w:themeColor="text1"/>
                <w:sz w:val="24"/>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中国</w:t>
            </w:r>
          </w:p>
        </w:tc>
        <w:tc>
          <w:tcPr>
            <w:tcW w:w="165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GBZ/T298-2017</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2017-09-30</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中华人民共和国国家卫生和计划生育委员会</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中国疾病预防控制中心职业卫生与中毒控制所、浙江省疾病预防控制中心、广东省职业病防治院、江苏省疾病预防控制中心、武汉市职业病防治院、深圳市宝安区疾病预防控制中心</w:t>
            </w:r>
          </w:p>
        </w:tc>
        <w:tc>
          <w:tcPr>
            <w:tcW w:w="221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胡伟江、张美辨、王鑫、苏世标、张恒东、陈永青、陈振龙、田亚锋、闫雪华、董一文、汉锋</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实用新型专利</w:t>
            </w:r>
          </w:p>
        </w:tc>
        <w:tc>
          <w:tcPr>
            <w:tcW w:w="2577"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一种具有自动量程切换的个人声暴露计</w:t>
            </w:r>
          </w:p>
        </w:tc>
        <w:tc>
          <w:tcPr>
            <w:tcW w:w="992"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中国</w:t>
            </w:r>
          </w:p>
        </w:tc>
        <w:tc>
          <w:tcPr>
            <w:tcW w:w="165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ZL201720199215.X</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2017-10-13</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中华人民共和国国家知识产权局</w:t>
            </w:r>
          </w:p>
        </w:tc>
        <w:tc>
          <w:tcPr>
            <w:tcW w:w="1213"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浙江省疾病预防控制中心</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张美辨，魏明</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软件著作权</w:t>
            </w:r>
          </w:p>
        </w:tc>
        <w:tc>
          <w:tcPr>
            <w:tcW w:w="2577"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职业健康综合监管平台V1.0</w:t>
            </w: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中国</w:t>
            </w:r>
          </w:p>
        </w:tc>
        <w:tc>
          <w:tcPr>
            <w:tcW w:w="165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2021SR0007449</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ascii="仿宋_GB2312" w:hAnsi="宋体" w:eastAsia="仿宋_GB2312"/>
                <w:color w:val="000000" w:themeColor="text1"/>
                <w:sz w:val="24"/>
                <w:szCs w:val="21"/>
                <w14:textFill>
                  <w14:solidFill>
                    <w14:schemeClr w14:val="tx1"/>
                  </w14:solidFill>
                </w14:textFill>
              </w:rPr>
              <w:t>2020-08-28</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中华人民共和国国家版权局</w:t>
            </w:r>
          </w:p>
        </w:tc>
        <w:tc>
          <w:tcPr>
            <w:tcW w:w="1213"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浙江省疾病预防控制中心</w:t>
            </w:r>
          </w:p>
        </w:tc>
        <w:tc>
          <w:tcPr>
            <w:tcW w:w="2215" w:type="dxa"/>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浙江省疾病预防控制中心</w:t>
            </w:r>
          </w:p>
        </w:tc>
        <w:tc>
          <w:tcPr>
            <w:tcW w:w="2215" w:type="dxa"/>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有效</w:t>
            </w:r>
          </w:p>
        </w:tc>
      </w:tr>
    </w:tbl>
    <w:p>
      <w:pPr>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p>
    <w:p>
      <w:pPr>
        <w:spacing w:beforeAutospacing="1" w:afterAutospacing="1"/>
        <w:rPr>
          <w:rFonts w:ascii="黑体" w:eastAsia="黑体"/>
          <w:color w:val="000000" w:themeColor="text1"/>
          <w:kern w:val="0"/>
          <w:sz w:val="32"/>
          <w:szCs w:val="32"/>
          <w14:textFill>
            <w14:solidFill>
              <w14:schemeClr w14:val="tx1"/>
            </w14:solidFill>
          </w14:textFill>
        </w:rPr>
        <w:sectPr>
          <w:pgSz w:w="15842" w:h="12242" w:orient="landscape"/>
          <w:pgMar w:top="1418" w:right="1247" w:bottom="1134" w:left="1247" w:header="851" w:footer="794" w:gutter="0"/>
          <w:cols w:space="720" w:num="1"/>
        </w:sectPr>
      </w:pPr>
    </w:p>
    <w:p>
      <w:pPr>
        <w:widowControl/>
        <w:jc w:val="center"/>
        <w:rPr>
          <w:rFonts w:ascii="方正黑体简体" w:hAnsi="宋体" w:eastAsia="方正黑体简体" w:cs="Times New Roman"/>
          <w:color w:val="000000" w:themeColor="text1"/>
          <w:sz w:val="32"/>
          <w14:textFill>
            <w14:solidFill>
              <w14:schemeClr w14:val="tx1"/>
            </w14:solidFill>
          </w14:textFill>
        </w:rPr>
      </w:pPr>
      <w:r>
        <w:rPr>
          <w:rFonts w:hint="eastAsia" w:ascii="方正黑体简体" w:hAnsi="宋体" w:eastAsia="方正黑体简体" w:cs="Times New Roman"/>
          <w:color w:val="000000" w:themeColor="text1"/>
          <w:sz w:val="32"/>
          <w14:textFill>
            <w14:solidFill>
              <w14:schemeClr w14:val="tx1"/>
            </w14:solidFill>
          </w14:textFill>
        </w:rPr>
        <w:t>八、代表性论文（专著）目录</w:t>
      </w:r>
    </w:p>
    <w:tbl>
      <w:tblPr>
        <w:tblStyle w:val="2"/>
        <w:tblW w:w="85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9"/>
        <w:gridCol w:w="2786"/>
        <w:gridCol w:w="1018"/>
        <w:gridCol w:w="1052"/>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2" w:hRule="exact"/>
          <w:jc w:val="center"/>
        </w:trPr>
        <w:tc>
          <w:tcPr>
            <w:tcW w:w="2809" w:type="dxa"/>
            <w:tcBorders>
              <w:top w:val="single" w:color="auto" w:sz="12"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作 者</w:t>
            </w:r>
          </w:p>
        </w:tc>
        <w:tc>
          <w:tcPr>
            <w:tcW w:w="2786" w:type="dxa"/>
            <w:tcBorders>
              <w:top w:val="single" w:color="auto" w:sz="12"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论文（专著）名称/刊物</w:t>
            </w:r>
          </w:p>
        </w:tc>
        <w:tc>
          <w:tcPr>
            <w:tcW w:w="1018"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年卷</w:t>
            </w:r>
          </w:p>
          <w:p>
            <w:pPr>
              <w:jc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页码</w:t>
            </w:r>
          </w:p>
        </w:tc>
        <w:tc>
          <w:tcPr>
            <w:tcW w:w="1052"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发表</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时间</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（年、月）</w:t>
            </w:r>
          </w:p>
        </w:tc>
        <w:tc>
          <w:tcPr>
            <w:tcW w:w="89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他引</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0"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Meibian Zhang, Le Jian, Pingfan Bin, Mingluan Xing, Jianlin Lou, Liming Cong, Hua Zou*</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Workplace exposure to nanoparticles from gas metal arc welding process. </w:t>
            </w:r>
            <w:r>
              <w:rPr>
                <w:rFonts w:hint="eastAsia" w:ascii="仿宋_GB2312" w:hAnsi="宋体" w:eastAsia="仿宋_GB2312"/>
                <w:b/>
                <w:color w:val="000000" w:themeColor="text1"/>
                <w:sz w:val="24"/>
                <w:szCs w:val="24"/>
                <w14:textFill>
                  <w14:solidFill>
                    <w14:schemeClr w14:val="tx1"/>
                  </w14:solidFill>
                </w14:textFill>
              </w:rPr>
              <w:t>Journal of  Nanoparticle Research</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2013；15:2016</w:t>
            </w:r>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2013，10</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0"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Mingluan Xing, Yuanbao Zhang, Hua Zou1, Changjian Quan, Bing Chang, Shichuan Tang, and Meibian Zhang*</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Exposure characteristics of ferric oxide nanoparticles released during activities for manufacturing ferric oxide nanomaterials. </w:t>
            </w:r>
            <w:r>
              <w:rPr>
                <w:rFonts w:hint="eastAsia" w:ascii="仿宋_GB2312" w:hAnsi="宋体" w:eastAsia="仿宋_GB2312"/>
                <w:b/>
                <w:sz w:val="24"/>
                <w:szCs w:val="24"/>
              </w:rPr>
              <w:t>Inhalation Toxicology</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bookmarkStart w:id="0" w:name="OLE_LINK28"/>
            <w:bookmarkStart w:id="1" w:name="OLE_LINK27"/>
            <w:r>
              <w:rPr>
                <w:rFonts w:hint="eastAsia" w:ascii="仿宋_GB2312" w:hAnsi="宋体" w:eastAsia="仿宋_GB2312"/>
                <w:color w:val="000000" w:themeColor="text1"/>
                <w:sz w:val="24"/>
                <w:szCs w:val="24"/>
                <w14:textFill>
                  <w14:solidFill>
                    <w14:schemeClr w14:val="tx1"/>
                  </w14:solidFill>
                </w14:textFill>
              </w:rPr>
              <w:t>2015; 27(3):138-48</w:t>
            </w:r>
            <w:bookmarkEnd w:id="0"/>
            <w:bookmarkEnd w:id="1"/>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2015，02</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8"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Hong-wei Xie, Wei Qiu*, Nicholas J. Heyer, Mei-bian Zhang, Peng Zhang, Yi-ming Zhao, and Roger P. Hamernik</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The Use of the Kurtosis-adjusted Cumulative Noise Exposure Metric in Evaluating the Hearing Loss Risk for Complex Noise. </w:t>
            </w:r>
          </w:p>
          <w:p>
            <w:pPr>
              <w:jc w:val="center"/>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Ear and Hearing</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bookmarkStart w:id="2" w:name="OLE_LINK49"/>
            <w:bookmarkStart w:id="3" w:name="OLE_LINK48"/>
            <w:r>
              <w:rPr>
                <w:rFonts w:hint="eastAsia" w:ascii="仿宋_GB2312" w:hAnsi="宋体" w:eastAsia="仿宋_GB2312"/>
                <w:color w:val="000000" w:themeColor="text1"/>
                <w:sz w:val="24"/>
                <w:szCs w:val="24"/>
                <w14:textFill>
                  <w14:solidFill>
                    <w14:schemeClr w14:val="tx1"/>
                  </w14:solidFill>
                </w14:textFill>
              </w:rPr>
              <w:t>2016, 37(3):312-323</w:t>
            </w:r>
            <w:bookmarkEnd w:id="2"/>
            <w:bookmarkEnd w:id="3"/>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2016，06</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1"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Fang Tian, Meibian Zhang*, Lifang Zhou, Hua Zou, Aihong Wang and Mo Hao*</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Qualitative and quantitative differences between common occupational health risk assessment models in typical industries. </w:t>
            </w:r>
            <w:r>
              <w:rPr>
                <w:rFonts w:hint="eastAsia" w:ascii="仿宋_GB2312" w:hAnsi="宋体" w:eastAsia="仿宋_GB2312"/>
                <w:b/>
                <w:color w:val="000000" w:themeColor="text1"/>
                <w:sz w:val="24"/>
                <w:szCs w:val="24"/>
                <w14:textFill>
                  <w14:solidFill>
                    <w14:schemeClr w14:val="tx1"/>
                  </w14:solidFill>
                </w14:textFill>
              </w:rPr>
              <w:t>Journal of occupational health</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bookmarkStart w:id="4" w:name="OLE_LINK52"/>
            <w:bookmarkStart w:id="5" w:name="OLE_LINK53"/>
            <w:r>
              <w:rPr>
                <w:rFonts w:hint="eastAsia" w:ascii="仿宋_GB2312" w:hAnsi="宋体" w:eastAsia="仿宋_GB2312"/>
                <w:color w:val="000000" w:themeColor="text1"/>
                <w:sz w:val="24"/>
                <w:szCs w:val="24"/>
                <w14:textFill>
                  <w14:solidFill>
                    <w14:schemeClr w14:val="tx1"/>
                  </w14:solidFill>
                </w14:textFill>
              </w:rPr>
              <w:t>2018; 60: 337-347</w:t>
            </w:r>
            <w:bookmarkEnd w:id="4"/>
            <w:bookmarkEnd w:id="5"/>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2018，06</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1"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FF0000"/>
                <w:sz w:val="24"/>
                <w:szCs w:val="24"/>
              </w:rPr>
            </w:pPr>
            <w:r>
              <w:rPr>
                <w:rFonts w:hint="eastAsia" w:ascii="仿宋_GB2312" w:hAnsi="Times New Roman" w:eastAsia="仿宋_GB2312" w:cs="Times New Roman"/>
                <w:color w:val="000000" w:themeColor="text1"/>
                <w:sz w:val="24"/>
                <w:szCs w:val="24"/>
                <w14:textFill>
                  <w14:solidFill>
                    <w14:schemeClr w14:val="tx1"/>
                  </w14:solidFill>
                </w14:textFill>
              </w:rPr>
              <w:t>Hua Zou, Zhihao Shi, Yixin Zhang, Jiena Zhou, Xinglin Fang, Yijin Zhang, Yong Hu, Xiaoming Lou*, Lifang Zhou*</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 xml:space="preserve">Epidemiological characteristics and survival analysis on patients with occupational pneumoconiosis in Zhejiang Province from 1987 to 2019. </w:t>
            </w:r>
            <w:r>
              <w:rPr>
                <w:rFonts w:hint="eastAsia" w:ascii="仿宋_GB2312" w:hAnsi="宋体" w:eastAsia="仿宋_GB2312"/>
                <w:b/>
                <w:sz w:val="24"/>
                <w:szCs w:val="24"/>
              </w:rPr>
              <w:t>Frontiers in Public Health</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2022,10:1006391</w:t>
            </w:r>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2022.10</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6" w:hRule="exact"/>
          <w:jc w:val="center"/>
        </w:trPr>
        <w:tc>
          <w:tcPr>
            <w:tcW w:w="2809" w:type="dxa"/>
            <w:tcBorders>
              <w:top w:val="single" w:color="auto" w:sz="6" w:space="0"/>
              <w:left w:val="single" w:color="auto" w:sz="12"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sz w:val="24"/>
                <w:szCs w:val="24"/>
              </w:rPr>
              <w:t>Meibian Zhang, Hongwei Xie, Jiena Zhou, Xin Sun, Weijiang Hu, Hua Zou, Lifang Zhou, Jingsong Li, Ming Zhang, Chucri A. Kardous, Thais C. Morata, William J. Murphy, Jane Hongyuan Zhang, Wei Qiu*</w:t>
            </w:r>
          </w:p>
        </w:tc>
        <w:tc>
          <w:tcPr>
            <w:tcW w:w="2786"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New Metrics Needed in the Evaluation of Hearing Hazard Associated With Industrial Noise Exposure. </w:t>
            </w:r>
          </w:p>
          <w:p>
            <w:pPr>
              <w:jc w:val="center"/>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Ear and Hearing</w:t>
            </w:r>
          </w:p>
        </w:tc>
        <w:tc>
          <w:tcPr>
            <w:tcW w:w="1018"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2021，42, 2: 290-300</w:t>
            </w:r>
          </w:p>
        </w:tc>
        <w:tc>
          <w:tcPr>
            <w:tcW w:w="1052"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2021.12</w:t>
            </w:r>
          </w:p>
        </w:tc>
        <w:tc>
          <w:tcPr>
            <w:tcW w:w="899"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exact"/>
          <w:jc w:val="center"/>
        </w:trPr>
        <w:tc>
          <w:tcPr>
            <w:tcW w:w="7665" w:type="dxa"/>
            <w:gridSpan w:val="4"/>
            <w:tcBorders>
              <w:top w:val="single" w:color="auto" w:sz="6" w:space="0"/>
              <w:left w:val="single" w:color="auto" w:sz="12" w:space="0"/>
              <w:bottom w:val="single" w:color="auto" w:sz="12" w:space="0"/>
              <w:right w:val="single" w:color="auto" w:sz="6" w:space="0"/>
            </w:tcBorders>
            <w:vAlign w:val="center"/>
          </w:tcPr>
          <w:p>
            <w:pPr>
              <w:jc w:val="righ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合  计: 6篇SCI论文</w:t>
            </w:r>
          </w:p>
        </w:tc>
        <w:tc>
          <w:tcPr>
            <w:tcW w:w="899" w:type="dxa"/>
            <w:tcBorders>
              <w:top w:val="single" w:color="auto" w:sz="6" w:space="0"/>
              <w:left w:val="single" w:color="auto" w:sz="6" w:space="0"/>
              <w:bottom w:val="single" w:color="auto" w:sz="12" w:space="0"/>
              <w:right w:val="single" w:color="auto" w:sz="6" w:space="0"/>
            </w:tcBorders>
            <w:vAlign w:val="center"/>
          </w:tcPr>
          <w:p>
            <w:pPr>
              <w:ind w:right="420"/>
              <w:jc w:val="righ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r>
              <w:rPr>
                <w:rFonts w:ascii="仿宋_GB2312" w:hAnsi="宋体" w:eastAsia="仿宋_GB2312"/>
                <w:color w:val="000000" w:themeColor="text1"/>
                <w:sz w:val="24"/>
                <w:szCs w:val="24"/>
                <w14:textFill>
                  <w14:solidFill>
                    <w14:schemeClr w14:val="tx1"/>
                  </w14:solidFill>
                </w14:textFill>
              </w:rPr>
              <w:t>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F735B4-38D5-4122-95AD-D79DCA0C9E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A04FC4A-094E-45CA-BFBA-C81977F5FAE7}"/>
  </w:font>
  <w:font w:name="方正小标宋简体">
    <w:panose1 w:val="02000000000000000000"/>
    <w:charset w:val="86"/>
    <w:family w:val="script"/>
    <w:pitch w:val="default"/>
    <w:sig w:usb0="00000001" w:usb1="08000000" w:usb2="00000000" w:usb3="00000000" w:csb0="00040000" w:csb1="00000000"/>
    <w:embedRegular r:id="rId3" w:fontKey="{4441C0F4-9D69-40DA-8EBF-EBB6CEAD295D}"/>
  </w:font>
  <w:font w:name="仿宋_GB2312">
    <w:altName w:val="仿宋"/>
    <w:panose1 w:val="02010609030101010101"/>
    <w:charset w:val="86"/>
    <w:family w:val="modern"/>
    <w:pitch w:val="default"/>
    <w:sig w:usb0="00000000" w:usb1="00000000" w:usb2="00000010" w:usb3="00000000" w:csb0="00040000" w:csb1="00000000"/>
    <w:embedRegular r:id="rId4" w:fontKey="{A68C2DAE-05E5-4A16-8596-1DA05F44CF4B}"/>
  </w:font>
  <w:font w:name="仿宋">
    <w:panose1 w:val="02010609060101010101"/>
    <w:charset w:val="86"/>
    <w:family w:val="modern"/>
    <w:pitch w:val="default"/>
    <w:sig w:usb0="800002BF" w:usb1="38CF7CFA" w:usb2="00000016" w:usb3="00000000" w:csb0="00040001" w:csb1="00000000"/>
    <w:embedRegular r:id="rId5" w:fontKey="{4010BFFC-1D7C-483D-9A80-1B8900896301}"/>
  </w:font>
  <w:font w:name="方正黑体简体">
    <w:altName w:val="微软雅黑"/>
    <w:panose1 w:val="00000000000000000000"/>
    <w:charset w:val="86"/>
    <w:family w:val="auto"/>
    <w:pitch w:val="default"/>
    <w:sig w:usb0="00000000" w:usb1="00000000" w:usb2="00000000" w:usb3="00000000" w:csb0="00040000" w:csb1="00000000"/>
    <w:embedRegular r:id="rId6" w:fontKey="{55DFA714-D856-4EA7-8EB1-2778A50C6A3B}"/>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OGJmN2NiYTdmMzliM2UyZjMxNzNmNzY3YzdhMWQifQ=="/>
  </w:docVars>
  <w:rsids>
    <w:rsidRoot w:val="7231294D"/>
    <w:rsid w:val="00A432CA"/>
    <w:rsid w:val="09DD6B5C"/>
    <w:rsid w:val="0DDC2056"/>
    <w:rsid w:val="16FD5414"/>
    <w:rsid w:val="19F71DF5"/>
    <w:rsid w:val="206E5362"/>
    <w:rsid w:val="2356322E"/>
    <w:rsid w:val="2CD67698"/>
    <w:rsid w:val="2FB03AC5"/>
    <w:rsid w:val="3B8A67FC"/>
    <w:rsid w:val="4CEE7F01"/>
    <w:rsid w:val="4D326BE9"/>
    <w:rsid w:val="648A157B"/>
    <w:rsid w:val="7231294D"/>
    <w:rsid w:val="75CB0A32"/>
    <w:rsid w:val="77F4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2023-03-01T01:29:00Z</dcterms:created>
  <dc:creator>芦欣怡</dc:creator>
  <cp:lastModifiedBy>芦欣怡</cp:lastModifiedBy>
  <dcterms:modified xsi:type="dcterms:W3CDTF">2023-03-01T01:29:56Z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A5D55ECA91B24C93A04F7D3ECF828B34</vt:lpwstr>
  </property>
</Properties>
</file>